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6D7DB8" w:rsidRDefault="00AD0D12">
      <w:pPr>
        <w:spacing w:after="0"/>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6D7DB8" w:rsidRDefault="00AD0D12">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bookmarkStart w:id="0" w:name="_heading=h.gjdgxs" w:colFirst="0" w:colLast="0"/>
      <w:bookmarkEnd w:id="0"/>
      <w:r>
        <w:rPr>
          <w:rFonts w:ascii="Arial" w:eastAsia="Arial" w:hAnsi="Arial" w:cs="Arial"/>
          <w:b/>
          <w:sz w:val="24"/>
          <w:szCs w:val="24"/>
        </w:rPr>
        <w:t>Not Used</w:t>
      </w:r>
    </w:p>
    <w:p w14:paraId="00000003" w14:textId="77777777" w:rsidR="006D7DB8" w:rsidRDefault="00AD0D12">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r>
        <w:rPr>
          <w:rFonts w:ascii="Arial" w:eastAsia="Arial" w:hAnsi="Arial" w:cs="Arial"/>
          <w:b/>
          <w:color w:val="000000"/>
          <w:sz w:val="24"/>
          <w:szCs w:val="24"/>
        </w:rPr>
        <w:t xml:space="preserve">How Framework Prices are </w:t>
      </w:r>
      <w:r>
        <w:rPr>
          <w:rFonts w:ascii="Arial" w:eastAsia="Arial" w:hAnsi="Arial" w:cs="Arial"/>
          <w:b/>
          <w:sz w:val="24"/>
          <w:szCs w:val="24"/>
        </w:rPr>
        <w:t>u</w:t>
      </w:r>
      <w:r>
        <w:rPr>
          <w:rFonts w:ascii="Arial" w:eastAsia="Arial" w:hAnsi="Arial" w:cs="Arial"/>
          <w:b/>
          <w:color w:val="000000"/>
          <w:sz w:val="24"/>
          <w:szCs w:val="24"/>
        </w:rPr>
        <w:t xml:space="preserve">sed to </w:t>
      </w:r>
      <w:r>
        <w:rPr>
          <w:rFonts w:ascii="Arial" w:eastAsia="Arial" w:hAnsi="Arial" w:cs="Arial"/>
          <w:b/>
          <w:sz w:val="24"/>
          <w:szCs w:val="24"/>
        </w:rPr>
        <w:t>c</w:t>
      </w:r>
      <w:r>
        <w:rPr>
          <w:rFonts w:ascii="Arial" w:eastAsia="Arial" w:hAnsi="Arial" w:cs="Arial"/>
          <w:b/>
          <w:color w:val="000000"/>
          <w:sz w:val="24"/>
          <w:szCs w:val="24"/>
        </w:rPr>
        <w:t>alculate Call-Off Charges</w:t>
      </w:r>
    </w:p>
    <w:p w14:paraId="00000004"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5" w14:textId="77777777" w:rsidR="006D7DB8" w:rsidRDefault="00AD0D1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bookmarkStart w:id="1" w:name="_heading=h.3znysh7" w:colFirst="0" w:colLast="0"/>
      <w:bookmarkEnd w:id="1"/>
      <w:r>
        <w:rPr>
          <w:rFonts w:ascii="Arial" w:eastAsia="Arial" w:hAnsi="Arial" w:cs="Arial"/>
          <w:color w:val="000000"/>
          <w:sz w:val="24"/>
          <w:szCs w:val="24"/>
        </w:rPr>
        <w:t>will be used as the basis for the charges (and are maximums that the Supplier may charge for a Standard Service Requirement) under each Call Off Contract including;</w:t>
      </w:r>
    </w:p>
    <w:p w14:paraId="00000006" w14:textId="77777777" w:rsidR="006D7DB8" w:rsidRDefault="00AD0D12">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Standard Service </w:t>
      </w:r>
      <w:r>
        <w:rPr>
          <w:rFonts w:ascii="Arial" w:eastAsia="Arial" w:hAnsi="Arial" w:cs="Arial"/>
          <w:sz w:val="24"/>
          <w:szCs w:val="24"/>
        </w:rPr>
        <w:t>rate per Unit of Measure</w:t>
      </w:r>
    </w:p>
    <w:p w14:paraId="00000007" w14:textId="77777777" w:rsidR="006D7DB8" w:rsidRDefault="00AD0D12">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Corporate Overhead;</w:t>
      </w:r>
    </w:p>
    <w:p w14:paraId="00000008" w14:textId="77777777" w:rsidR="006D7DB8" w:rsidRDefault="00AD0D12">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Management Overhead;</w:t>
      </w:r>
    </w:p>
    <w:p w14:paraId="00000009" w14:textId="77777777" w:rsidR="006D7DB8" w:rsidRDefault="00AD0D12">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Supplier Profit;</w:t>
      </w:r>
    </w:p>
    <w:p w14:paraId="0000000A" w14:textId="77777777" w:rsidR="006D7DB8" w:rsidRDefault="00AD0D12">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London location percentage variance; </w:t>
      </w:r>
    </w:p>
    <w:p w14:paraId="0000000B" w14:textId="77777777" w:rsidR="006D7DB8" w:rsidRDefault="00AD0D12">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Cleaning consumables per </w:t>
      </w:r>
      <w:r>
        <w:rPr>
          <w:rFonts w:ascii="Arial" w:eastAsia="Arial" w:hAnsi="Arial" w:cs="Arial"/>
          <w:sz w:val="24"/>
          <w:szCs w:val="24"/>
        </w:rPr>
        <w:t>Building Occupants</w:t>
      </w:r>
      <w:r>
        <w:rPr>
          <w:rFonts w:ascii="Arial" w:eastAsia="Arial" w:hAnsi="Arial" w:cs="Arial"/>
          <w:color w:val="000000"/>
          <w:sz w:val="24"/>
          <w:szCs w:val="24"/>
        </w:rPr>
        <w:t xml:space="preserve">; </w:t>
      </w:r>
    </w:p>
    <w:p w14:paraId="0000000C" w14:textId="77777777" w:rsidR="006D7DB8" w:rsidRDefault="00AD0D12">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Billable works management uplifts; and </w:t>
      </w:r>
    </w:p>
    <w:p w14:paraId="0000000D" w14:textId="77777777" w:rsidR="006D7DB8" w:rsidRDefault="00AD0D12">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Project uplifts; </w:t>
      </w:r>
    </w:p>
    <w:p w14:paraId="0000000E" w14:textId="77777777" w:rsidR="006D7DB8" w:rsidRDefault="00AD0D12">
      <w:pPr>
        <w:pBdr>
          <w:top w:val="nil"/>
          <w:left w:val="nil"/>
          <w:bottom w:val="nil"/>
          <w:right w:val="nil"/>
          <w:between w:val="nil"/>
        </w:pBdr>
        <w:tabs>
          <w:tab w:val="left" w:pos="1985"/>
          <w:tab w:val="left" w:pos="2127"/>
          <w:tab w:val="left" w:pos="1440"/>
        </w:tabs>
        <w:spacing w:before="120" w:after="120" w:line="240" w:lineRule="auto"/>
        <w:ind w:left="1980"/>
        <w:rPr>
          <w:rFonts w:ascii="Arial" w:eastAsia="Arial" w:hAnsi="Arial" w:cs="Arial"/>
          <w:color w:val="000000"/>
          <w:sz w:val="24"/>
          <w:szCs w:val="24"/>
        </w:rPr>
      </w:pPr>
      <w:r>
        <w:rPr>
          <w:rFonts w:ascii="Arial" w:eastAsia="Arial" w:hAnsi="Arial" w:cs="Arial"/>
          <w:color w:val="000000"/>
          <w:sz w:val="24"/>
          <w:szCs w:val="24"/>
        </w:rPr>
        <w:t xml:space="preserve"> </w:t>
      </w:r>
      <w:proofErr w:type="gramStart"/>
      <w:r>
        <w:rPr>
          <w:rFonts w:ascii="Arial" w:eastAsia="Arial" w:hAnsi="Arial" w:cs="Arial"/>
          <w:color w:val="000000"/>
          <w:sz w:val="24"/>
          <w:szCs w:val="24"/>
        </w:rPr>
        <w:t>and</w:t>
      </w:r>
      <w:proofErr w:type="gramEnd"/>
    </w:p>
    <w:p w14:paraId="0000000F" w14:textId="77777777" w:rsidR="006D7DB8" w:rsidRDefault="00AD0D1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cannot</w:t>
      </w:r>
      <w:proofErr w:type="gramEnd"/>
      <w:r>
        <w:rPr>
          <w:rFonts w:ascii="Arial" w:eastAsia="Arial" w:hAnsi="Arial" w:cs="Arial"/>
          <w:color w:val="000000"/>
          <w:sz w:val="24"/>
          <w:szCs w:val="24"/>
        </w:rPr>
        <w:t xml:space="preserve"> be increased except as in accordance with this Schedule.</w:t>
      </w:r>
    </w:p>
    <w:p w14:paraId="00000010" w14:textId="77777777" w:rsidR="006D7DB8" w:rsidRDefault="00AD0D1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Framework Prices are permitted to exceed Standard Service </w:t>
      </w:r>
      <w:r>
        <w:rPr>
          <w:rFonts w:ascii="Arial" w:eastAsia="Arial" w:hAnsi="Arial" w:cs="Arial"/>
          <w:sz w:val="24"/>
          <w:szCs w:val="24"/>
        </w:rPr>
        <w:t>p</w:t>
      </w:r>
      <w:r>
        <w:rPr>
          <w:rFonts w:ascii="Arial" w:eastAsia="Arial" w:hAnsi="Arial" w:cs="Arial"/>
          <w:color w:val="000000"/>
          <w:sz w:val="24"/>
          <w:szCs w:val="24"/>
        </w:rPr>
        <w:t xml:space="preserve">ricing for non-standard requirements and/or at the discretion of the Buyer, however the pricing variables detailed in </w:t>
      </w:r>
      <w:r>
        <w:rPr>
          <w:rFonts w:ascii="Arial" w:eastAsia="Arial" w:hAnsi="Arial" w:cs="Arial"/>
          <w:sz w:val="24"/>
          <w:szCs w:val="24"/>
        </w:rPr>
        <w:t>2</w:t>
      </w:r>
      <w:r>
        <w:rPr>
          <w:rFonts w:ascii="Arial" w:eastAsia="Arial" w:hAnsi="Arial" w:cs="Arial"/>
          <w:color w:val="000000"/>
          <w:sz w:val="24"/>
          <w:szCs w:val="24"/>
        </w:rPr>
        <w:t>.1.1 (b) to (</w:t>
      </w:r>
      <w:r>
        <w:rPr>
          <w:rFonts w:ascii="Arial" w:eastAsia="Arial" w:hAnsi="Arial" w:cs="Arial"/>
          <w:sz w:val="24"/>
          <w:szCs w:val="24"/>
        </w:rPr>
        <w:t>h</w:t>
      </w:r>
      <w:r>
        <w:rPr>
          <w:rFonts w:ascii="Arial" w:eastAsia="Arial" w:hAnsi="Arial" w:cs="Arial"/>
          <w:color w:val="000000"/>
          <w:sz w:val="24"/>
          <w:szCs w:val="24"/>
        </w:rPr>
        <w:t>) will remain as maximum percentages</w:t>
      </w:r>
    </w:p>
    <w:p w14:paraId="00000011"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00000012" w14:textId="77777777" w:rsidR="006D7DB8" w:rsidRDefault="00AD0D1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13" w14:textId="77777777" w:rsidR="006D7DB8" w:rsidRDefault="00AD0D1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w:t>
      </w:r>
      <w:r>
        <w:rPr>
          <w:rFonts w:ascii="Arial" w:eastAsia="Arial" w:hAnsi="Arial" w:cs="Arial"/>
          <w:color w:val="000000"/>
          <w:sz w:val="24"/>
          <w:szCs w:val="24"/>
        </w:rPr>
        <w:t>ct to Indexation where specifically stated in the Order Form; and</w:t>
      </w:r>
    </w:p>
    <w:p w14:paraId="00000014" w14:textId="77777777" w:rsidR="006D7DB8" w:rsidRDefault="00AD0D1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not be impacted by any change to the Framework Prices.</w:t>
      </w:r>
    </w:p>
    <w:p w14:paraId="00000015"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2" w:name="_heading=h.513i4rc6r71m" w:colFirst="0" w:colLast="0"/>
      <w:bookmarkEnd w:id="2"/>
      <w:r>
        <w:rPr>
          <w:rFonts w:ascii="Arial" w:eastAsia="Arial" w:hAnsi="Arial" w:cs="Arial"/>
          <w:color w:val="000000"/>
          <w:sz w:val="24"/>
          <w:szCs w:val="24"/>
        </w:rPr>
        <w:t xml:space="preserve">Any variation to the Charges payable under a Call Off Contract must be agreed between the Supplier and the Buyer and implemented </w:t>
      </w:r>
      <w:r>
        <w:rPr>
          <w:rFonts w:ascii="Arial" w:eastAsia="Arial" w:hAnsi="Arial" w:cs="Arial"/>
          <w:color w:val="000000"/>
          <w:sz w:val="24"/>
          <w:szCs w:val="24"/>
        </w:rPr>
        <w:t>using the same procedure for altering Framework Prices in accordance with the provisions of this Framework Schedule 3</w:t>
      </w:r>
    </w:p>
    <w:p w14:paraId="00000016" w14:textId="77777777" w:rsidR="006D7DB8" w:rsidRDefault="00AD0D12">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r>
        <w:rPr>
          <w:rFonts w:ascii="Arial" w:eastAsia="Arial" w:hAnsi="Arial" w:cs="Arial"/>
          <w:b/>
          <w:color w:val="000000"/>
          <w:sz w:val="24"/>
          <w:szCs w:val="24"/>
        </w:rPr>
        <w:t>How Framework Prices are calculated</w:t>
      </w:r>
    </w:p>
    <w:p w14:paraId="00000017"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 xml:space="preserve">The pricing mechanisms and prices set out in Annex 1 shall be available for use in calculation of Framework Prices in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Contracts.</w:t>
      </w:r>
    </w:p>
    <w:p w14:paraId="00000018" w14:textId="77777777" w:rsidR="006D7DB8" w:rsidRDefault="00AD0D12">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bookmarkStart w:id="4" w:name="_heading=h.1fob9te" w:colFirst="0" w:colLast="0"/>
      <w:bookmarkEnd w:id="4"/>
      <w:r>
        <w:rPr>
          <w:rFonts w:ascii="Arial" w:eastAsia="Arial" w:hAnsi="Arial" w:cs="Arial"/>
          <w:b/>
          <w:sz w:val="24"/>
          <w:szCs w:val="24"/>
        </w:rPr>
        <w:lastRenderedPageBreak/>
        <w:t>Not Used</w:t>
      </w:r>
    </w:p>
    <w:p w14:paraId="00000019" w14:textId="77777777" w:rsidR="006D7DB8" w:rsidRDefault="00AD0D12">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r>
        <w:rPr>
          <w:rFonts w:ascii="Arial" w:eastAsia="Arial" w:hAnsi="Arial" w:cs="Arial"/>
          <w:b/>
          <w:color w:val="000000"/>
          <w:sz w:val="24"/>
          <w:szCs w:val="24"/>
        </w:rPr>
        <w:t>When the Supplier can ask to change the Framework Prices</w:t>
      </w:r>
    </w:p>
    <w:p w14:paraId="0000001A"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poihfrdhdh2h" w:colFirst="0" w:colLast="0"/>
      <w:bookmarkEnd w:id="5"/>
      <w:r>
        <w:rPr>
          <w:rFonts w:ascii="Arial" w:eastAsia="Arial" w:hAnsi="Arial" w:cs="Arial"/>
          <w:color w:val="000000"/>
          <w:sz w:val="24"/>
          <w:szCs w:val="24"/>
        </w:rPr>
        <w:t>The Framework Prices will be fixed for th</w:t>
      </w:r>
      <w:r>
        <w:rPr>
          <w:rFonts w:ascii="Arial" w:eastAsia="Arial" w:hAnsi="Arial" w:cs="Arial"/>
          <w:sz w:val="24"/>
          <w:szCs w:val="24"/>
        </w:rPr>
        <w:t xml:space="preserve">e first </w:t>
      </w:r>
      <w:r>
        <w:rPr>
          <w:rFonts w:ascii="Arial" w:eastAsia="Arial" w:hAnsi="Arial" w:cs="Arial"/>
          <w:b/>
          <w:sz w:val="24"/>
          <w:szCs w:val="24"/>
        </w:rPr>
        <w:t>2</w:t>
      </w:r>
      <w:r>
        <w:rPr>
          <w:rFonts w:ascii="Arial" w:eastAsia="Arial" w:hAnsi="Arial" w:cs="Arial"/>
          <w:sz w:val="24"/>
          <w:szCs w:val="24"/>
        </w:rPr>
        <w:t xml:space="preserve"> y</w:t>
      </w:r>
      <w:r>
        <w:rPr>
          <w:rFonts w:ascii="Arial" w:eastAsia="Arial" w:hAnsi="Arial" w:cs="Arial"/>
          <w:sz w:val="24"/>
          <w:szCs w:val="24"/>
        </w:rPr>
        <w:t>ears follo</w:t>
      </w:r>
      <w:r>
        <w:rPr>
          <w:rFonts w:ascii="Arial" w:eastAsia="Arial" w:hAnsi="Arial" w:cs="Arial"/>
          <w:color w:val="000000"/>
          <w:sz w:val="24"/>
          <w:szCs w:val="24"/>
        </w:rPr>
        <w:t>wing the Start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sdt>
      <w:sdtPr>
        <w:tag w:val="goog_rdk_1"/>
        <w:id w:val="-510301837"/>
      </w:sdtPr>
      <w:sdtEndPr/>
      <w:sdtContent>
        <w:p w14:paraId="0000001B" w14:textId="540D6352" w:rsidR="006D7DB8" w:rsidRDefault="00AD0D12" w:rsidP="00CB0A97">
          <w:pPr>
            <w:numPr>
              <w:ilvl w:val="1"/>
              <w:numId w:val="1"/>
            </w:numPr>
            <w:tabs>
              <w:tab w:val="left" w:pos="709"/>
            </w:tabs>
            <w:spacing w:before="120" w:after="120" w:line="240" w:lineRule="auto"/>
            <w:ind w:left="1134" w:hanging="425"/>
          </w:pPr>
          <w:r>
            <w:rPr>
              <w:rFonts w:ascii="Arial" w:eastAsia="Arial" w:hAnsi="Arial" w:cs="Arial"/>
              <w:sz w:val="24"/>
              <w:szCs w:val="24"/>
            </w:rPr>
            <w:t>T</w:t>
          </w:r>
          <w:bookmarkStart w:id="6" w:name="_heading=h.cgmztcr9hhbt" w:colFirst="0" w:colLast="0"/>
          <w:bookmarkEnd w:id="6"/>
          <w:sdt>
            <w:sdtPr>
              <w:tag w:val="goog_rdk_0"/>
              <w:id w:val="-1745479921"/>
            </w:sdtPr>
            <w:sdtEndPr/>
            <w:sdtContent>
              <w:r>
                <w:rPr>
                  <w:rFonts w:ascii="Arial" w:eastAsia="Arial" w:hAnsi="Arial" w:cs="Arial"/>
                  <w:color w:val="000000"/>
                  <w:sz w:val="24"/>
                  <w:szCs w:val="24"/>
                </w:rPr>
                <w:t>he Framework Prices (</w:t>
              </w:r>
              <w:r>
                <w:rPr>
                  <w:rFonts w:ascii="Arial" w:eastAsia="Arial" w:hAnsi="Arial" w:cs="Arial"/>
                  <w:color w:val="000000"/>
                  <w:sz w:val="24"/>
                  <w:szCs w:val="24"/>
                </w:rPr>
                <w:t>excluding Corporate Overhead, Profit and Billable Works and Projects percentages</w:t>
              </w:r>
              <w:r>
                <w:rPr>
                  <w:rFonts w:ascii="Arial" w:eastAsia="Arial" w:hAnsi="Arial" w:cs="Arial"/>
                  <w:color w:val="000000"/>
                  <w:sz w:val="24"/>
                  <w:szCs w:val="24"/>
                </w:rPr>
                <w:t xml:space="preserve">) are subject to Indexation and shall be adjusted in line with changes in the Consumer Price Index ("CPI").  All other costs, expenses, fees and charges shall not be adjusted </w:t>
              </w:r>
              <w:r>
                <w:rPr>
                  <w:rFonts w:ascii="Arial" w:eastAsia="Arial" w:hAnsi="Arial" w:cs="Arial"/>
                  <w:color w:val="000000"/>
                  <w:sz w:val="24"/>
                  <w:szCs w:val="24"/>
                </w:rPr>
                <w:t>to take account of any inflation, change to exchange rate, change to interest rate or any other factor or element which might otherwise increase the cost to the Supplier.</w:t>
              </w:r>
            </w:sdtContent>
          </w:sdt>
        </w:p>
      </w:sdtContent>
    </w:sdt>
    <w:bookmarkStart w:id="7" w:name="_heading=h.b3dtzefet0kb" w:colFirst="0" w:colLast="0" w:displacedByCustomXml="next"/>
    <w:bookmarkEnd w:id="7" w:displacedByCustomXml="next"/>
    <w:sdt>
      <w:sdtPr>
        <w:tag w:val="goog_rdk_3"/>
        <w:id w:val="888453857"/>
      </w:sdtPr>
      <w:sdtEndPr/>
      <w:sdtContent>
        <w:p w14:paraId="0000001C" w14:textId="41018A93" w:rsidR="006D7DB8" w:rsidRPr="00CB0A97" w:rsidRDefault="00AD0D12" w:rsidP="00CB0A97">
          <w:pPr>
            <w:numPr>
              <w:ilvl w:val="1"/>
              <w:numId w:val="1"/>
            </w:numPr>
            <w:tabs>
              <w:tab w:val="left" w:pos="709"/>
            </w:tabs>
            <w:spacing w:before="120" w:after="120" w:line="240" w:lineRule="auto"/>
            <w:ind w:left="1134" w:hanging="425"/>
            <w:rPr>
              <w:rFonts w:ascii="Arial" w:eastAsia="Arial" w:hAnsi="Arial" w:cs="Arial"/>
              <w:color w:val="000000"/>
            </w:rPr>
          </w:pPr>
          <w:sdt>
            <w:sdtPr>
              <w:tag w:val="goog_rdk_2"/>
              <w:id w:val="-1218818990"/>
            </w:sdtPr>
            <w:sdtEndPr/>
            <w:sdtContent>
              <w:r>
                <w:rPr>
                  <w:rFonts w:ascii="Arial" w:eastAsia="Arial" w:hAnsi="Arial" w:cs="Arial"/>
                  <w:color w:val="000000"/>
                  <w:sz w:val="24"/>
                  <w:szCs w:val="24"/>
                </w:rPr>
                <w:t>Where the Framework Prices are subject to Indexation then it will be indexed on t</w:t>
              </w:r>
              <w:r>
                <w:rPr>
                  <w:rFonts w:ascii="Arial" w:eastAsia="Arial" w:hAnsi="Arial" w:cs="Arial"/>
                  <w:color w:val="000000"/>
                  <w:sz w:val="24"/>
                  <w:szCs w:val="24"/>
                </w:rPr>
                <w:t xml:space="preserve">he date which is two (2) years after the Framework Contract Start Date to reflect the percentage change in the CPI since the date which is one (1) year after the Framework Contract Start Date.  They shall be indexed on each following yearly anniversary to </w:t>
              </w:r>
              <w:r>
                <w:rPr>
                  <w:rFonts w:ascii="Arial" w:eastAsia="Arial" w:hAnsi="Arial" w:cs="Arial"/>
                  <w:color w:val="000000"/>
                  <w:sz w:val="24"/>
                  <w:szCs w:val="24"/>
                </w:rPr>
                <w:t>reflect the percentage change in the CPI since the previous change.</w:t>
              </w:r>
            </w:sdtContent>
          </w:sdt>
        </w:p>
      </w:sdtContent>
    </w:sdt>
    <w:p w14:paraId="0000001D"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w:t>
      </w:r>
      <w:r>
        <w:rPr>
          <w:rFonts w:ascii="Arial" w:eastAsia="Arial" w:hAnsi="Arial" w:cs="Arial"/>
          <w:color w:val="000000"/>
          <w:sz w:val="24"/>
          <w:szCs w:val="24"/>
        </w:rPr>
        <w:t>n it will only be able to request an increase prior to the next Review Date.</w:t>
      </w:r>
    </w:p>
    <w:p w14:paraId="0000001E" w14:textId="0D4CB1EF"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w:t>
      </w:r>
      <w:sdt>
        <w:sdtPr>
          <w:tag w:val="goog_rdk_4"/>
          <w:id w:val="-1497798394"/>
        </w:sdtPr>
        <w:sdtEndPr/>
        <w:sdtContent>
          <w:r>
            <w:rPr>
              <w:rFonts w:ascii="Arial" w:eastAsia="Arial" w:hAnsi="Arial" w:cs="Arial"/>
              <w:color w:val="000000"/>
              <w:sz w:val="24"/>
              <w:szCs w:val="24"/>
            </w:rPr>
            <w:t xml:space="preserve">, not covered by Indexation, </w:t>
          </w:r>
        </w:sdtContent>
      </w:sdt>
      <w:sdt>
        <w:sdtPr>
          <w:tag w:val="goog_rdk_5"/>
          <w:id w:val="1546719972"/>
          <w:showingPlcHdr/>
        </w:sdtPr>
        <w:sdtEndPr/>
        <w:sdtContent>
          <w:r w:rsidR="00D0622E">
            <w:t xml:space="preserve">     </w:t>
          </w:r>
        </w:sdtContent>
      </w:sdt>
      <w:r>
        <w:rPr>
          <w:rFonts w:ascii="Arial" w:eastAsia="Arial" w:hAnsi="Arial" w:cs="Arial"/>
          <w:color w:val="000000"/>
          <w:sz w:val="24"/>
          <w:szCs w:val="24"/>
        </w:rPr>
        <w:t>shall include:</w:t>
      </w:r>
    </w:p>
    <w:p w14:paraId="0000001F" w14:textId="77777777" w:rsidR="006D7DB8" w:rsidRDefault="00AD0D1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00000020" w14:textId="77777777" w:rsidR="006D7DB8" w:rsidRDefault="00AD0D1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00000021" w14:textId="77777777" w:rsidR="006D7DB8" w:rsidRDefault="00AD0D1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a breakdown of the cost components that comprise the relevant Framework Price; </w:t>
      </w:r>
    </w:p>
    <w:p w14:paraId="00000022" w14:textId="77777777" w:rsidR="006D7DB8" w:rsidRDefault="00AD0D1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sz w:val="24"/>
          <w:szCs w:val="24"/>
        </w:rPr>
      </w:pPr>
      <w:r>
        <w:rPr>
          <w:rFonts w:ascii="Arial" w:eastAsia="Arial" w:hAnsi="Arial" w:cs="Arial"/>
          <w:sz w:val="24"/>
          <w:szCs w:val="24"/>
          <w:highlight w:val="white"/>
        </w:rPr>
        <w:t>details of the movement in the different identified cost comp</w:t>
      </w:r>
      <w:r>
        <w:rPr>
          <w:rFonts w:ascii="Arial" w:eastAsia="Arial" w:hAnsi="Arial" w:cs="Arial"/>
          <w:sz w:val="24"/>
          <w:szCs w:val="24"/>
          <w:highlight w:val="white"/>
        </w:rPr>
        <w:t>onents of the relevant Framework Price;</w:t>
      </w:r>
    </w:p>
    <w:p w14:paraId="00000023" w14:textId="77777777" w:rsidR="006D7DB8" w:rsidRDefault="00AD0D1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sz w:val="24"/>
          <w:szCs w:val="24"/>
        </w:rPr>
      </w:pPr>
      <w:r>
        <w:rPr>
          <w:rFonts w:ascii="Arial" w:eastAsia="Arial" w:hAnsi="Arial" w:cs="Arial"/>
          <w:sz w:val="24"/>
          <w:szCs w:val="24"/>
          <w:highlight w:val="white"/>
        </w:rPr>
        <w:t>reasons for the movement in the different identified cost components of the relevant Framework Price;</w:t>
      </w:r>
    </w:p>
    <w:p w14:paraId="00000024" w14:textId="77777777" w:rsidR="006D7DB8" w:rsidRDefault="00AD0D1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sz w:val="24"/>
          <w:szCs w:val="24"/>
        </w:rPr>
      </w:pPr>
      <w:r>
        <w:rPr>
          <w:rFonts w:ascii="Arial" w:eastAsia="Arial" w:hAnsi="Arial" w:cs="Arial"/>
          <w:sz w:val="24"/>
          <w:szCs w:val="24"/>
          <w:highlight w:val="white"/>
        </w:rPr>
        <w:t>evidence that the Supplier has attempted to mitigate against the increase in the relevant cost components; and</w:t>
      </w:r>
    </w:p>
    <w:p w14:paraId="00000025" w14:textId="77777777" w:rsidR="006D7DB8" w:rsidRDefault="00AD0D1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sz w:val="24"/>
          <w:szCs w:val="24"/>
        </w:rPr>
      </w:pPr>
      <w:proofErr w:type="gramStart"/>
      <w:r>
        <w:rPr>
          <w:rFonts w:ascii="Arial" w:eastAsia="Arial" w:hAnsi="Arial" w:cs="Arial"/>
          <w:sz w:val="24"/>
          <w:szCs w:val="24"/>
          <w:highlight w:val="white"/>
        </w:rPr>
        <w:t>evi</w:t>
      </w:r>
      <w:r>
        <w:rPr>
          <w:rFonts w:ascii="Arial" w:eastAsia="Arial" w:hAnsi="Arial" w:cs="Arial"/>
          <w:sz w:val="24"/>
          <w:szCs w:val="24"/>
          <w:highlight w:val="white"/>
        </w:rPr>
        <w:t>dence</w:t>
      </w:r>
      <w:proofErr w:type="gramEnd"/>
      <w:r>
        <w:rPr>
          <w:rFonts w:ascii="Arial" w:eastAsia="Arial" w:hAnsi="Arial" w:cs="Arial"/>
          <w:sz w:val="24"/>
          <w:szCs w:val="24"/>
          <w:highlight w:val="white"/>
        </w:rPr>
        <w:t xml:space="preserve"> that the Supplier’s profit component of the relevant Framework Price is no greater than that applying to Framework Prices using the same pricing mechanism as at the Contract Commencement Date.</w:t>
      </w:r>
    </w:p>
    <w:p w14:paraId="00000026" w14:textId="5252E109"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lastRenderedPageBreak/>
        <w:t>CCS shall consider each request for a price increase</w:t>
      </w:r>
      <w:sdt>
        <w:sdtPr>
          <w:tag w:val="goog_rdk_6"/>
          <w:id w:val="-212118007"/>
        </w:sdtPr>
        <w:sdtEndPr/>
        <w:sdtContent>
          <w:r>
            <w:rPr>
              <w:rFonts w:ascii="Arial" w:eastAsia="Arial" w:hAnsi="Arial" w:cs="Arial"/>
              <w:sz w:val="24"/>
              <w:szCs w:val="24"/>
            </w:rPr>
            <w:t>, not covered automatically by indexation</w:t>
          </w:r>
          <w:r w:rsidR="00D0622E">
            <w:rPr>
              <w:rFonts w:ascii="Arial" w:eastAsia="Arial" w:hAnsi="Arial" w:cs="Arial"/>
              <w:sz w:val="24"/>
              <w:szCs w:val="24"/>
            </w:rPr>
            <w:t>.</w:t>
          </w:r>
          <w:r>
            <w:rPr>
              <w:rFonts w:ascii="Arial" w:eastAsia="Arial" w:hAnsi="Arial" w:cs="Arial"/>
              <w:sz w:val="24"/>
              <w:szCs w:val="24"/>
            </w:rPr>
            <w:t xml:space="preserve"> </w:t>
          </w:r>
        </w:sdtContent>
      </w:sdt>
      <w:sdt>
        <w:sdtPr>
          <w:tag w:val="goog_rdk_7"/>
          <w:id w:val="-315341607"/>
          <w:showingPlcHdr/>
        </w:sdtPr>
        <w:sdtEndPr/>
        <w:sdtContent>
          <w:r w:rsidR="00D0622E">
            <w:t xml:space="preserve">     </w:t>
          </w:r>
        </w:sdtContent>
      </w:sdt>
      <w:r>
        <w:rPr>
          <w:rFonts w:ascii="Arial" w:eastAsia="Arial" w:hAnsi="Arial" w:cs="Arial"/>
          <w:sz w:val="24"/>
          <w:szCs w:val="24"/>
        </w:rPr>
        <w:t xml:space="preserve">  CCS may grant Approval to an increase at its sole discretion.</w:t>
      </w:r>
    </w:p>
    <w:p w14:paraId="00000027"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The price increase request shall be determined b</w:t>
      </w:r>
      <w:r>
        <w:rPr>
          <w:rFonts w:ascii="Arial" w:eastAsia="Arial" w:hAnsi="Arial" w:cs="Arial"/>
          <w:sz w:val="24"/>
          <w:szCs w:val="24"/>
        </w:rPr>
        <w:t xml:space="preserve">y applying the following formula: </w:t>
      </w:r>
    </w:p>
    <w:p w14:paraId="00000028" w14:textId="77777777" w:rsidR="006D7DB8" w:rsidRDefault="00AD0D12">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 xml:space="preserve">           NC = EC * Z where: </w:t>
      </w:r>
    </w:p>
    <w:p w14:paraId="00000029" w14:textId="77777777" w:rsidR="006D7DB8" w:rsidRDefault="00AD0D12">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NC</w:t>
      </w:r>
      <w:r>
        <w:rPr>
          <w:rFonts w:ascii="Arial" w:eastAsia="Arial" w:hAnsi="Arial" w:cs="Arial"/>
          <w:sz w:val="24"/>
          <w:szCs w:val="24"/>
        </w:rPr>
        <w:tab/>
        <w:t xml:space="preserve"> is the New Charge; </w:t>
      </w:r>
    </w:p>
    <w:p w14:paraId="0000002A" w14:textId="77777777" w:rsidR="006D7DB8" w:rsidRDefault="00AD0D12">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EC</w:t>
      </w:r>
      <w:r>
        <w:rPr>
          <w:rFonts w:ascii="Arial" w:eastAsia="Arial" w:hAnsi="Arial" w:cs="Arial"/>
          <w:sz w:val="24"/>
          <w:szCs w:val="24"/>
        </w:rPr>
        <w:tab/>
        <w:t xml:space="preserve"> is the Existing Charge; and </w:t>
      </w:r>
    </w:p>
    <w:p w14:paraId="0000002B" w14:textId="508FED7C" w:rsidR="006D7DB8" w:rsidRDefault="00AD0D12">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Z</w:t>
      </w:r>
      <w:r>
        <w:rPr>
          <w:rFonts w:ascii="Arial" w:eastAsia="Arial" w:hAnsi="Arial" w:cs="Arial"/>
          <w:sz w:val="24"/>
          <w:szCs w:val="24"/>
        </w:rPr>
        <w:tab/>
        <w:t xml:space="preserve"> is 1 + (“</w:t>
      </w:r>
      <w:r>
        <w:rPr>
          <w:rFonts w:ascii="Arial" w:eastAsia="Arial" w:hAnsi="Arial" w:cs="Arial"/>
          <w:b/>
          <w:sz w:val="24"/>
          <w:szCs w:val="24"/>
        </w:rPr>
        <w:t>Average Annual % Change in CPI</w:t>
      </w:r>
      <w:r>
        <w:rPr>
          <w:rFonts w:ascii="Arial" w:eastAsia="Arial" w:hAnsi="Arial" w:cs="Arial"/>
        </w:rPr>
        <w:t xml:space="preserve"> </w:t>
      </w:r>
      <w:sdt>
        <w:sdtPr>
          <w:tag w:val="goog_rdk_8"/>
          <w:id w:val="-1686199454"/>
          <w:showingPlcHdr/>
        </w:sdtPr>
        <w:sdtEndPr/>
        <w:sdtContent>
          <w:r w:rsidR="00D0622E">
            <w:t xml:space="preserve">     </w:t>
          </w:r>
        </w:sdtContent>
      </w:sdt>
      <w:r>
        <w:rPr>
          <w:rFonts w:ascii="Arial" w:eastAsia="Arial" w:hAnsi="Arial" w:cs="Arial"/>
          <w:b/>
          <w:sz w:val="24"/>
          <w:szCs w:val="24"/>
        </w:rPr>
        <w:t>”</w:t>
      </w:r>
      <w:r>
        <w:rPr>
          <w:rFonts w:ascii="Arial" w:eastAsia="Arial" w:hAnsi="Arial" w:cs="Arial"/>
          <w:sz w:val="24"/>
          <w:szCs w:val="24"/>
        </w:rPr>
        <w:t>) / 100</w:t>
      </w:r>
    </w:p>
    <w:p w14:paraId="0000002C" w14:textId="35166740"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rPr>
      </w:pPr>
      <w:r>
        <w:rPr>
          <w:rFonts w:ascii="Arial" w:eastAsia="Arial" w:hAnsi="Arial" w:cs="Arial"/>
          <w:sz w:val="24"/>
          <w:szCs w:val="24"/>
        </w:rPr>
        <w:t>If the</w:t>
      </w:r>
      <w:sdt>
        <w:sdtPr>
          <w:tag w:val="goog_rdk_9"/>
          <w:id w:val="1173231138"/>
        </w:sdtPr>
        <w:sdtEndPr/>
        <w:sdtContent>
          <w:r>
            <w:rPr>
              <w:rFonts w:ascii="Arial" w:eastAsia="Arial" w:hAnsi="Arial" w:cs="Arial"/>
              <w:sz w:val="24"/>
              <w:szCs w:val="24"/>
            </w:rPr>
            <w:t xml:space="preserve"> CPI</w:t>
          </w:r>
        </w:sdtContent>
      </w:sdt>
      <w:sdt>
        <w:sdtPr>
          <w:tag w:val="goog_rdk_10"/>
          <w:id w:val="1878500409"/>
        </w:sdtPr>
        <w:sdtEndPr/>
        <w:sdtContent>
          <w:bookmarkStart w:id="8" w:name="_GoBack"/>
          <w:bookmarkEnd w:id="8"/>
        </w:sdtContent>
      </w:sdt>
      <w:r>
        <w:rPr>
          <w:rFonts w:ascii="Arial" w:eastAsia="Arial" w:hAnsi="Arial" w:cs="Arial"/>
          <w:sz w:val="24"/>
          <w:szCs w:val="24"/>
        </w:rPr>
        <w:t xml:space="preserve"> has not been published for the relevant month as required for this calculation then the last published value of the index available at the Adjustment Date shall be used.</w:t>
      </w:r>
    </w:p>
    <w:p w14:paraId="0000002D"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In the event that any changes occur to the basis of the CPI, or it is no longer publi</w:t>
      </w:r>
      <w:r>
        <w:rPr>
          <w:rFonts w:ascii="Arial" w:eastAsia="Arial" w:hAnsi="Arial" w:cs="Arial"/>
          <w:sz w:val="24"/>
          <w:szCs w:val="24"/>
        </w:rPr>
        <w:t xml:space="preserve">shed, CCS and the Supplier shall agree a fair and reasonable adjustment to that index or, if appropriate, shall agree a revised formula that in either event will have substantially the same effect as that specified in this Framework Schedule 3 - Framework </w:t>
      </w:r>
      <w:r>
        <w:rPr>
          <w:rFonts w:ascii="Arial" w:eastAsia="Arial" w:hAnsi="Arial" w:cs="Arial"/>
          <w:sz w:val="24"/>
          <w:szCs w:val="24"/>
        </w:rPr>
        <w:t>Prices.</w:t>
      </w:r>
    </w:p>
    <w:p w14:paraId="0000002E"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0000002F" w14:textId="77777777" w:rsidR="006D7DB8" w:rsidRDefault="00AD0D12">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r>
        <w:rPr>
          <w:rFonts w:ascii="Arial" w:eastAsia="Arial" w:hAnsi="Arial" w:cs="Arial"/>
          <w:b/>
          <w:color w:val="000000"/>
          <w:sz w:val="24"/>
          <w:szCs w:val="24"/>
        </w:rPr>
        <w:t>Other events that allow the Supplier to change the Framework Prices</w:t>
      </w:r>
    </w:p>
    <w:p w14:paraId="00000030"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31" w14:textId="77777777" w:rsidR="006D7DB8" w:rsidRDefault="00AD0D1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Core Terms Clause 24;</w:t>
      </w:r>
    </w:p>
    <w:p w14:paraId="00000032" w14:textId="77777777" w:rsidR="006D7DB8" w:rsidRDefault="00AD0D1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Core Terms Clause 13; </w:t>
      </w:r>
    </w:p>
    <w:p w14:paraId="00000033" w14:textId="77777777" w:rsidR="006D7DB8" w:rsidRDefault="00AD0D1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14:paraId="00000034" w14:textId="77777777" w:rsidR="006D7DB8" w:rsidRDefault="00AD0D1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14:paraId="00000035" w14:textId="77777777" w:rsidR="006D7DB8" w:rsidRDefault="00AD0D1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changes</w:t>
      </w:r>
      <w:proofErr w:type="gramEnd"/>
      <w:r>
        <w:rPr>
          <w:rFonts w:ascii="Arial" w:eastAsia="Arial" w:hAnsi="Arial" w:cs="Arial"/>
          <w:color w:val="000000"/>
          <w:sz w:val="24"/>
          <w:szCs w:val="24"/>
        </w:rPr>
        <w:t xml:space="preserve"> to the Mandatory Wage in which event paragraph 7 shall apply.</w:t>
      </w:r>
    </w:p>
    <w:p w14:paraId="00000036" w14:textId="77777777" w:rsidR="006D7DB8" w:rsidRDefault="00AD0D12">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Pr>
          <w:rFonts w:ascii="Arial" w:eastAsia="Arial" w:hAnsi="Arial" w:cs="Arial"/>
          <w:b/>
          <w:color w:val="000000"/>
          <w:sz w:val="24"/>
          <w:szCs w:val="24"/>
        </w:rPr>
        <w:t>Changes</w:t>
      </w:r>
      <w:r>
        <w:rPr>
          <w:rFonts w:ascii="Arial" w:eastAsia="Arial" w:hAnsi="Arial" w:cs="Arial"/>
          <w:b/>
          <w:sz w:val="24"/>
          <w:szCs w:val="24"/>
        </w:rPr>
        <w:t xml:space="preserve"> To Minimum/Living Wage</w:t>
      </w:r>
    </w:p>
    <w:p w14:paraId="00000037"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Notwithstanding Core Terms Clause 24.5 (Changing the Contract), where the Supplier can provide evidence that a percentage increase to the Mandatory Wage in</w:t>
      </w:r>
      <w:r>
        <w:rPr>
          <w:rFonts w:ascii="Arial" w:eastAsia="Arial" w:hAnsi="Arial" w:cs="Arial"/>
          <w:sz w:val="24"/>
          <w:szCs w:val="24"/>
        </w:rPr>
        <w:t xml:space="preserve"> a given period has exceeded any percentage increase in CPI under </w:t>
      </w:r>
      <w:r>
        <w:rPr>
          <w:rFonts w:ascii="Arial" w:eastAsia="Arial" w:hAnsi="Arial" w:cs="Arial"/>
          <w:sz w:val="24"/>
          <w:szCs w:val="24"/>
          <w:highlight w:val="white"/>
        </w:rPr>
        <w:t xml:space="preserve">Paragraph 5.5 </w:t>
      </w:r>
      <w:r>
        <w:rPr>
          <w:rFonts w:ascii="Arial" w:eastAsia="Arial" w:hAnsi="Arial" w:cs="Arial"/>
          <w:sz w:val="24"/>
          <w:szCs w:val="24"/>
        </w:rPr>
        <w:t xml:space="preserve">for the same period in, the Supplier </w:t>
      </w:r>
      <w:r>
        <w:rPr>
          <w:rFonts w:ascii="Arial" w:eastAsia="Arial" w:hAnsi="Arial" w:cs="Arial"/>
          <w:sz w:val="24"/>
          <w:szCs w:val="24"/>
        </w:rPr>
        <w:lastRenderedPageBreak/>
        <w:t>may request an increase in the Framework Prices by using the process under Paragraph 5.</w:t>
      </w:r>
    </w:p>
    <w:p w14:paraId="00000038"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For the avoidance of doubt CCS is not required to a</w:t>
      </w:r>
      <w:r>
        <w:rPr>
          <w:rFonts w:ascii="Arial" w:eastAsia="Arial" w:hAnsi="Arial" w:cs="Arial"/>
          <w:sz w:val="24"/>
          <w:szCs w:val="24"/>
        </w:rPr>
        <w:t>ccept the request to adjust Framework Prices and must not accept any request that:</w:t>
      </w:r>
    </w:p>
    <w:p w14:paraId="00000039"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exceeds the difference between the CPI increase and the current Mandatory Wage rate increase for each member of the Supplier Personnel affected by the Mandatory Wage increas</w:t>
      </w:r>
      <w:r>
        <w:rPr>
          <w:rFonts w:ascii="Arial" w:eastAsia="Arial" w:hAnsi="Arial" w:cs="Arial"/>
          <w:sz w:val="24"/>
          <w:szCs w:val="24"/>
        </w:rPr>
        <w:t>e;</w:t>
      </w:r>
    </w:p>
    <w:p w14:paraId="0000003A"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 xml:space="preserve">relate to Services that are not affected by the Mandatory Wage increase; and </w:t>
      </w:r>
    </w:p>
    <w:p w14:paraId="0000003B"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proofErr w:type="gramStart"/>
      <w:r>
        <w:rPr>
          <w:rFonts w:ascii="Arial" w:eastAsia="Arial" w:hAnsi="Arial" w:cs="Arial"/>
          <w:sz w:val="24"/>
          <w:szCs w:val="24"/>
        </w:rPr>
        <w:t>that</w:t>
      </w:r>
      <w:proofErr w:type="gramEnd"/>
      <w:r>
        <w:rPr>
          <w:rFonts w:ascii="Arial" w:eastAsia="Arial" w:hAnsi="Arial" w:cs="Arial"/>
          <w:sz w:val="24"/>
          <w:szCs w:val="24"/>
        </w:rPr>
        <w:t xml:space="preserve"> relates to Supplier Personnel on an hourly rate already in excess of the Mandatory Wage (whether or not to maintain differentials between the affected Supplier Personnel and higher paid Supplier Personnel). </w:t>
      </w:r>
    </w:p>
    <w:p w14:paraId="0000003C" w14:textId="77777777" w:rsidR="006D7DB8" w:rsidRDefault="00AD0D12">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Pr>
          <w:rFonts w:ascii="Arial" w:eastAsia="Arial" w:hAnsi="Arial" w:cs="Arial"/>
          <w:b/>
          <w:sz w:val="24"/>
          <w:szCs w:val="24"/>
        </w:rPr>
        <w:t>Costs And Expenses</w:t>
      </w:r>
    </w:p>
    <w:p w14:paraId="0000003D"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bookmarkStart w:id="9" w:name="_heading=h.tyjcwt" w:colFirst="0" w:colLast="0"/>
      <w:bookmarkEnd w:id="9"/>
      <w:r>
        <w:rPr>
          <w:rFonts w:ascii="Arial" w:eastAsia="Arial" w:hAnsi="Arial" w:cs="Arial"/>
          <w:sz w:val="24"/>
          <w:szCs w:val="24"/>
        </w:rPr>
        <w:t xml:space="preserve">Except as expressly set </w:t>
      </w:r>
      <w:r>
        <w:rPr>
          <w:rFonts w:ascii="Arial" w:eastAsia="Arial" w:hAnsi="Arial" w:cs="Arial"/>
          <w:sz w:val="24"/>
          <w:szCs w:val="24"/>
        </w:rPr>
        <w:t>out as stated in Call-Off Schedule 5 (Pricing Details), the Framework Prices shall include all costs and expenses relating to the provision of Deliverables.  No further amounts shall be payable in respect of matters such as:</w:t>
      </w:r>
    </w:p>
    <w:p w14:paraId="0000003E"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incidental expenses such as tra</w:t>
      </w:r>
      <w:r>
        <w:rPr>
          <w:rFonts w:ascii="Arial" w:eastAsia="Arial" w:hAnsi="Arial" w:cs="Arial"/>
          <w:sz w:val="24"/>
          <w:szCs w:val="24"/>
        </w:rPr>
        <w:t>vel, subsistence and lodging, document or report reproduction, shipping, desktop or office equipment costs, network or data interchange costs or other telecommunications charges; or</w:t>
      </w:r>
    </w:p>
    <w:p w14:paraId="0000003F" w14:textId="77777777" w:rsidR="006D7DB8" w:rsidRDefault="00AD0D1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proofErr w:type="gramStart"/>
      <w:r>
        <w:rPr>
          <w:rFonts w:ascii="Arial" w:eastAsia="Arial" w:hAnsi="Arial" w:cs="Arial"/>
          <w:sz w:val="24"/>
          <w:szCs w:val="24"/>
        </w:rPr>
        <w:t>costs</w:t>
      </w:r>
      <w:proofErr w:type="gramEnd"/>
      <w:r>
        <w:rPr>
          <w:rFonts w:ascii="Arial" w:eastAsia="Arial" w:hAnsi="Arial" w:cs="Arial"/>
          <w:sz w:val="24"/>
          <w:szCs w:val="24"/>
        </w:rPr>
        <w:t xml:space="preserve"> incurred prior to the commencement of any Call-Off Contract.</w:t>
      </w:r>
    </w:p>
    <w:p w14:paraId="00000040" w14:textId="77777777" w:rsidR="006D7DB8" w:rsidRDefault="006D7DB8">
      <w:pPr>
        <w:pBdr>
          <w:top w:val="nil"/>
          <w:left w:val="nil"/>
          <w:bottom w:val="nil"/>
          <w:right w:val="nil"/>
          <w:between w:val="nil"/>
        </w:pBdr>
        <w:tabs>
          <w:tab w:val="left" w:pos="709"/>
        </w:tabs>
        <w:spacing w:before="120" w:after="120" w:line="240" w:lineRule="auto"/>
        <w:ind w:left="1134"/>
        <w:rPr>
          <w:rFonts w:ascii="Arial" w:eastAsia="Arial" w:hAnsi="Arial" w:cs="Arial"/>
          <w:sz w:val="24"/>
          <w:szCs w:val="24"/>
        </w:rPr>
      </w:pPr>
    </w:p>
    <w:p w14:paraId="00000041" w14:textId="77777777" w:rsidR="006D7DB8" w:rsidRDefault="006D7DB8">
      <w:pPr>
        <w:rPr>
          <w:rFonts w:ascii="Arial" w:eastAsia="Arial" w:hAnsi="Arial" w:cs="Arial"/>
          <w:sz w:val="24"/>
          <w:szCs w:val="24"/>
        </w:rPr>
      </w:pPr>
    </w:p>
    <w:p w14:paraId="00000042" w14:textId="77777777" w:rsidR="006D7DB8" w:rsidRDefault="006D7DB8">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14:paraId="00000043" w14:textId="77777777" w:rsidR="006D7DB8" w:rsidRDefault="006D7DB8">
      <w:pPr>
        <w:pBdr>
          <w:top w:val="nil"/>
          <w:left w:val="nil"/>
          <w:bottom w:val="nil"/>
          <w:right w:val="nil"/>
          <w:between w:val="nil"/>
        </w:pBdr>
        <w:tabs>
          <w:tab w:val="left" w:pos="0"/>
        </w:tabs>
        <w:spacing w:before="240" w:after="240" w:line="240" w:lineRule="auto"/>
        <w:ind w:left="644" w:hanging="360"/>
        <w:jc w:val="both"/>
        <w:rPr>
          <w:rFonts w:ascii="Arial" w:eastAsia="Arial" w:hAnsi="Arial" w:cs="Arial"/>
          <w:b/>
          <w:smallCaps/>
          <w:color w:val="000000"/>
          <w:highlight w:val="yellow"/>
        </w:rPr>
      </w:pPr>
    </w:p>
    <w:p w14:paraId="00000044" w14:textId="77777777" w:rsidR="006D7DB8" w:rsidRDefault="006D7DB8">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45" w14:textId="77777777" w:rsidR="006D7DB8" w:rsidRDefault="00AD0D12">
      <w:pPr>
        <w:rPr>
          <w:rFonts w:ascii="Arial" w:eastAsia="Arial" w:hAnsi="Arial" w:cs="Arial"/>
          <w:b/>
          <w:sz w:val="36"/>
          <w:szCs w:val="36"/>
        </w:rPr>
      </w:pPr>
      <w:bookmarkStart w:id="10" w:name="_heading=h.1t3h5sf" w:colFirst="0" w:colLast="0"/>
      <w:bookmarkEnd w:id="10"/>
      <w:r>
        <w:br w:type="page"/>
      </w:r>
      <w:r>
        <w:rPr>
          <w:rFonts w:ascii="Arial" w:eastAsia="Arial" w:hAnsi="Arial" w:cs="Arial"/>
          <w:b/>
          <w:sz w:val="36"/>
          <w:szCs w:val="36"/>
        </w:rPr>
        <w:lastRenderedPageBreak/>
        <w:t>Annex 1: Rates and Prices</w:t>
      </w:r>
    </w:p>
    <w:p w14:paraId="00000046" w14:textId="77777777" w:rsidR="006D7DB8" w:rsidRDefault="00AD0D12">
      <w:pPr>
        <w:spacing w:before="240" w:after="240"/>
        <w:rPr>
          <w:rFonts w:ascii="Arial" w:eastAsia="Arial" w:hAnsi="Arial" w:cs="Arial"/>
          <w:b/>
          <w:sz w:val="24"/>
          <w:szCs w:val="24"/>
          <w:highlight w:val="yellow"/>
        </w:rPr>
      </w:pPr>
      <w:r>
        <w:rPr>
          <w:rFonts w:ascii="Arial" w:eastAsia="Arial" w:hAnsi="Arial" w:cs="Arial"/>
          <w:b/>
          <w:sz w:val="24"/>
          <w:szCs w:val="24"/>
          <w:highlight w:val="yellow"/>
        </w:rPr>
        <w:t>[Guidance Note: Place a copy of the Supplier’s response to relevant award</w:t>
      </w:r>
    </w:p>
    <w:p w14:paraId="00000047" w14:textId="77777777" w:rsidR="006D7DB8" w:rsidRDefault="00AD0D12">
      <w:pPr>
        <w:spacing w:before="240" w:after="240"/>
        <w:rPr>
          <w:rFonts w:ascii="Arial" w:eastAsia="Arial" w:hAnsi="Arial" w:cs="Arial"/>
          <w:b/>
          <w:sz w:val="24"/>
          <w:szCs w:val="24"/>
          <w:highlight w:val="yellow"/>
        </w:rPr>
        <w:sectPr w:rsidR="006D7DB8">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bookmarkStart w:id="11" w:name="_heading=h.fc9aac53do7k" w:colFirst="0" w:colLast="0"/>
      <w:bookmarkEnd w:id="11"/>
      <w:proofErr w:type="gramStart"/>
      <w:r>
        <w:rPr>
          <w:rFonts w:ascii="Arial" w:eastAsia="Arial" w:hAnsi="Arial" w:cs="Arial"/>
          <w:b/>
          <w:sz w:val="24"/>
          <w:szCs w:val="24"/>
          <w:highlight w:val="yellow"/>
        </w:rPr>
        <w:t>questionnaire</w:t>
      </w:r>
      <w:proofErr w:type="gramEnd"/>
      <w:r>
        <w:rPr>
          <w:rFonts w:ascii="Arial" w:eastAsia="Arial" w:hAnsi="Arial" w:cs="Arial"/>
          <w:b/>
          <w:sz w:val="24"/>
          <w:szCs w:val="24"/>
          <w:highlight w:val="yellow"/>
        </w:rPr>
        <w:t xml:space="preserve"> pricing here once awarded.]</w:t>
      </w:r>
    </w:p>
    <w:p w14:paraId="00000048" w14:textId="77777777" w:rsidR="006D7DB8" w:rsidRDefault="006D7DB8">
      <w:pPr>
        <w:rPr>
          <w:rFonts w:ascii="Arial" w:eastAsia="Arial" w:hAnsi="Arial" w:cs="Arial"/>
          <w:b/>
          <w:sz w:val="36"/>
          <w:szCs w:val="36"/>
        </w:rPr>
      </w:pPr>
    </w:p>
    <w:sectPr w:rsidR="006D7DB8">
      <w:pgSz w:w="16838" w:h="11906" w:orient="landscape"/>
      <w:pgMar w:top="1440" w:right="1888"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3DC4E" w14:textId="77777777" w:rsidR="00AD0D12" w:rsidRDefault="00AD0D12">
      <w:pPr>
        <w:spacing w:after="0" w:line="240" w:lineRule="auto"/>
      </w:pPr>
      <w:r>
        <w:separator/>
      </w:r>
    </w:p>
  </w:endnote>
  <w:endnote w:type="continuationSeparator" w:id="0">
    <w:p w14:paraId="363E416B" w14:textId="77777777" w:rsidR="00AD0D12" w:rsidRDefault="00AD0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0" w14:textId="77777777" w:rsidR="006D7DB8" w:rsidRDefault="00AD0D1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00000051" w14:textId="4808EDF8" w:rsidR="006D7DB8" w:rsidRDefault="00CB0A97">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v2</w:t>
    </w:r>
    <w:r w:rsidR="00AD0D12">
      <w:rPr>
        <w:rFonts w:ascii="Arial" w:eastAsia="Arial" w:hAnsi="Arial" w:cs="Arial"/>
        <w:color w:val="000000"/>
        <w:sz w:val="20"/>
        <w:szCs w:val="20"/>
      </w:rPr>
      <w:t>.0</w:t>
    </w:r>
    <w:r w:rsidR="00AD0D12">
      <w:rPr>
        <w:rFonts w:ascii="Arial" w:eastAsia="Arial" w:hAnsi="Arial" w:cs="Arial"/>
        <w:color w:val="000000"/>
        <w:sz w:val="20"/>
        <w:szCs w:val="20"/>
      </w:rPr>
      <w:tab/>
    </w:r>
    <w:r w:rsidR="00AD0D12">
      <w:rPr>
        <w:rFonts w:ascii="Arial" w:eastAsia="Arial" w:hAnsi="Arial" w:cs="Arial"/>
        <w:color w:val="000000"/>
        <w:sz w:val="20"/>
        <w:szCs w:val="20"/>
      </w:rPr>
      <w:tab/>
      <w:t xml:space="preserve"> </w:t>
    </w:r>
    <w:r w:rsidR="00AD0D12">
      <w:rPr>
        <w:rFonts w:ascii="Arial" w:eastAsia="Arial" w:hAnsi="Arial" w:cs="Arial"/>
        <w:color w:val="000000"/>
        <w:sz w:val="20"/>
        <w:szCs w:val="20"/>
      </w:rPr>
      <w:fldChar w:fldCharType="begin"/>
    </w:r>
    <w:r w:rsidR="00AD0D12">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F0E07">
      <w:rPr>
        <w:rFonts w:ascii="Arial" w:eastAsia="Arial" w:hAnsi="Arial" w:cs="Arial"/>
        <w:noProof/>
        <w:color w:val="000000"/>
        <w:sz w:val="20"/>
        <w:szCs w:val="20"/>
      </w:rPr>
      <w:t>3</w:t>
    </w:r>
    <w:r w:rsidR="00AD0D12">
      <w:rPr>
        <w:rFonts w:ascii="Arial" w:eastAsia="Arial" w:hAnsi="Arial" w:cs="Arial"/>
        <w:color w:val="000000"/>
        <w:sz w:val="20"/>
        <w:szCs w:val="20"/>
      </w:rPr>
      <w:fldChar w:fldCharType="end"/>
    </w:r>
  </w:p>
  <w:p w14:paraId="00000052" w14:textId="77777777" w:rsidR="006D7DB8" w:rsidRDefault="00AD0D12">
    <w:pPr>
      <w:tabs>
        <w:tab w:val="left" w:pos="720"/>
        <w:tab w:val="left" w:pos="1440"/>
        <w:tab w:val="left" w:pos="2160"/>
        <w:tab w:val="left" w:pos="2880"/>
        <w:tab w:val="left" w:pos="3600"/>
        <w:tab w:val="left" w:pos="4320"/>
        <w:tab w:val="left" w:pos="4905"/>
      </w:tabs>
      <w:spacing w:after="0"/>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D" w14:textId="77777777" w:rsidR="006D7DB8" w:rsidRDefault="00AD0D12">
    <w:pPr>
      <w:tabs>
        <w:tab w:val="center" w:pos="4513"/>
        <w:tab w:val="right" w:pos="9026"/>
      </w:tabs>
      <w:spacing w:after="0"/>
    </w:pPr>
    <w:r>
      <w:t>Framework Ref: RM</w:t>
    </w:r>
    <w:r>
      <w:tab/>
      <w:t xml:space="preserve">                                           </w:t>
    </w:r>
  </w:p>
  <w:p w14:paraId="0000004E" w14:textId="77777777" w:rsidR="006D7DB8" w:rsidRDefault="00AD0D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4F" w14:textId="77777777" w:rsidR="006D7DB8" w:rsidRDefault="00AD0D1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ADFB8" w14:textId="77777777" w:rsidR="00AD0D12" w:rsidRDefault="00AD0D12">
      <w:pPr>
        <w:spacing w:after="0" w:line="240" w:lineRule="auto"/>
      </w:pPr>
      <w:r>
        <w:separator/>
      </w:r>
    </w:p>
  </w:footnote>
  <w:footnote w:type="continuationSeparator" w:id="0">
    <w:p w14:paraId="3AB3B64D" w14:textId="77777777" w:rsidR="00AD0D12" w:rsidRDefault="00AD0D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B" w14:textId="77777777" w:rsidR="006D7DB8" w:rsidRDefault="00AD0D1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4C" w14:textId="77777777" w:rsidR="006D7DB8" w:rsidRDefault="00AD0D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9" w14:textId="77777777" w:rsidR="006D7DB8" w:rsidRDefault="00AD0D1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4A" w14:textId="77777777" w:rsidR="006D7DB8" w:rsidRDefault="00AD0D1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F465B"/>
    <w:multiLevelType w:val="multilevel"/>
    <w:tmpl w:val="B360ED92"/>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CE7A45"/>
    <w:multiLevelType w:val="multilevel"/>
    <w:tmpl w:val="051A3276"/>
    <w:lvl w:ilvl="0">
      <w:start w:val="1"/>
      <w:numFmt w:val="decimal"/>
      <w:pStyle w:val="GPSL1CLAUSEHEADING"/>
      <w:lvlText w:val="%1."/>
      <w:lvlJc w:val="left"/>
      <w:pPr>
        <w:ind w:left="360" w:hanging="360"/>
      </w:pPr>
      <w:rPr>
        <w:rFonts w:ascii="Arial" w:eastAsia="Arial" w:hAnsi="Arial" w:cs="Arial"/>
        <w:b/>
        <w:smallCaps w:val="0"/>
        <w:strike w:val="0"/>
        <w:color w:val="000000"/>
        <w:sz w:val="24"/>
        <w:szCs w:val="24"/>
        <w:u w:val="none"/>
        <w:vertAlign w:val="baseline"/>
      </w:rPr>
    </w:lvl>
    <w:lvl w:ilvl="1">
      <w:start w:val="1"/>
      <w:numFmt w:val="decimal"/>
      <w:pStyle w:val="GPSL2numberedclause"/>
      <w:lvlText w:val="%1.%2"/>
      <w:lvlJc w:val="left"/>
      <w:pPr>
        <w:ind w:left="1777"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B8"/>
    <w:rsid w:val="006D7DB8"/>
    <w:rsid w:val="00AD0D12"/>
    <w:rsid w:val="00CB0A97"/>
    <w:rsid w:val="00CF0E07"/>
    <w:rsid w:val="00D062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28853"/>
  <w15:docId w15:val="{7B43A179-0717-4208-BDE1-6F26FE44F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customStyle="1" w:styleId="Table-Text">
    <w:name w:val="Table - Text"/>
    <w:basedOn w:val="Normal"/>
    <w:qFormat/>
    <w:rsid w:val="00224412"/>
    <w:pPr>
      <w:adjustRightInd w:val="0"/>
      <w:spacing w:before="120" w:after="120" w:line="240" w:lineRule="auto"/>
    </w:pPr>
    <w:rPr>
      <w:rFonts w:ascii="Times New Roman" w:eastAsia="STZhongsong" w:hAnsi="Times New Roman" w:cs="Times New Roman"/>
      <w:szCs w:val="20"/>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VALZ3frnyDYd+JePdkaqEj4tPg==">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Becky Leftwich</cp:lastModifiedBy>
  <cp:revision>3</cp:revision>
  <dcterms:created xsi:type="dcterms:W3CDTF">2021-12-13T14:11:00Z</dcterms:created>
  <dcterms:modified xsi:type="dcterms:W3CDTF">2021-12-13T14:13:00Z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